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4A49" w14:textId="77777777" w:rsidR="00206D54" w:rsidRPr="00206D54" w:rsidRDefault="00206D54" w:rsidP="00206D54">
      <w:pPr>
        <w:pStyle w:val="Testonormale"/>
        <w:jc w:val="both"/>
        <w:rPr>
          <w:rFonts w:ascii="Arial" w:hAnsi="Arial" w:cs="Arial"/>
          <w:b/>
          <w:sz w:val="24"/>
          <w:szCs w:val="24"/>
        </w:rPr>
      </w:pPr>
      <w:r w:rsidRPr="00206D54">
        <w:rPr>
          <w:rFonts w:ascii="Arial" w:hAnsi="Arial" w:cs="Arial"/>
          <w:b/>
          <w:sz w:val="24"/>
          <w:szCs w:val="24"/>
        </w:rPr>
        <w:t>Scheda di dettaglio del bando</w:t>
      </w:r>
    </w:p>
    <w:p w14:paraId="113EB607" w14:textId="77777777"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Nome completo del progetto finanziato dall'UE</w:t>
      </w:r>
    </w:p>
    <w:p w14:paraId="2DD9E66A" w14:textId="77777777"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EURO-EMOTUR: Il viaggio verso la digitalizzazione. Pensare il turismo digitale attraverso il neuromarketing e le emozioni</w:t>
      </w:r>
    </w:p>
    <w:p w14:paraId="1B692902" w14:textId="77777777"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Acronimo del progetto</w:t>
      </w:r>
      <w:r w:rsidRPr="00206D54">
        <w:rPr>
          <w:rFonts w:ascii="Arial" w:hAnsi="Arial" w:cs="Arial"/>
          <w:sz w:val="24"/>
          <w:szCs w:val="24"/>
        </w:rPr>
        <w:tab/>
        <w:t>EURO-EMOTUR</w:t>
      </w:r>
    </w:p>
    <w:p w14:paraId="2C56E38E" w14:textId="77777777"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 xml:space="preserve">Numero della convenzione di sovvenzione </w:t>
      </w:r>
      <w:r w:rsidRPr="00206D54">
        <w:rPr>
          <w:rFonts w:ascii="Arial" w:hAnsi="Arial" w:cs="Arial"/>
          <w:sz w:val="24"/>
          <w:szCs w:val="24"/>
        </w:rPr>
        <w:tab/>
        <w:t xml:space="preserve">101038111 </w:t>
      </w:r>
    </w:p>
    <w:p w14:paraId="1C649069" w14:textId="77777777"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Argomento</w:t>
      </w:r>
      <w:r w:rsidRPr="00206D54">
        <w:rPr>
          <w:rFonts w:ascii="Arial" w:hAnsi="Arial" w:cs="Arial"/>
          <w:sz w:val="24"/>
          <w:szCs w:val="24"/>
        </w:rPr>
        <w:tab/>
        <w:t>COS-TOURINN-2020-3-04 – Adozione dell'innovazione e digitalizzazione nel settore turistico</w:t>
      </w:r>
    </w:p>
    <w:p w14:paraId="5904CD1B" w14:textId="5E50839A"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Durata prevista della partecipazione</w:t>
      </w:r>
      <w:r>
        <w:rPr>
          <w:rFonts w:ascii="Arial" w:hAnsi="Arial" w:cs="Arial"/>
          <w:sz w:val="24"/>
          <w:szCs w:val="24"/>
        </w:rPr>
        <w:tab/>
      </w:r>
      <w:r w:rsidRPr="00206D54">
        <w:rPr>
          <w:rFonts w:ascii="Arial" w:hAnsi="Arial" w:cs="Arial"/>
          <w:sz w:val="24"/>
          <w:szCs w:val="24"/>
        </w:rPr>
        <w:t xml:space="preserve"> </w:t>
      </w:r>
      <w:r w:rsidRPr="00206D54">
        <w:rPr>
          <w:rFonts w:ascii="Arial" w:hAnsi="Arial" w:cs="Arial"/>
          <w:sz w:val="24"/>
          <w:szCs w:val="24"/>
        </w:rPr>
        <w:tab/>
        <w:t>15 mesi</w:t>
      </w:r>
    </w:p>
    <w:p w14:paraId="283D7128" w14:textId="51D591D2"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Totale dei finanziamenti disponibili</w:t>
      </w:r>
      <w:r>
        <w:rPr>
          <w:rFonts w:ascii="Arial" w:hAnsi="Arial" w:cs="Arial"/>
          <w:sz w:val="24"/>
          <w:szCs w:val="24"/>
        </w:rPr>
        <w:tab/>
      </w:r>
      <w:r w:rsidRPr="00206D54">
        <w:rPr>
          <w:rFonts w:ascii="Arial" w:hAnsi="Arial" w:cs="Arial"/>
          <w:sz w:val="24"/>
          <w:szCs w:val="24"/>
        </w:rPr>
        <w:tab/>
        <w:t xml:space="preserve">€450.000 </w:t>
      </w:r>
    </w:p>
    <w:p w14:paraId="582AD808" w14:textId="09480E31"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Importo massimo concesso per PMI</w:t>
      </w:r>
      <w:r>
        <w:rPr>
          <w:rFonts w:ascii="Arial" w:hAnsi="Arial" w:cs="Arial"/>
          <w:sz w:val="24"/>
          <w:szCs w:val="24"/>
        </w:rPr>
        <w:tab/>
      </w:r>
      <w:r w:rsidRPr="00206D54">
        <w:rPr>
          <w:rFonts w:ascii="Arial" w:hAnsi="Arial" w:cs="Arial"/>
          <w:sz w:val="24"/>
          <w:szCs w:val="24"/>
        </w:rPr>
        <w:tab/>
        <w:t>€10.000</w:t>
      </w:r>
    </w:p>
    <w:p w14:paraId="7EAE9633" w14:textId="5A9F5ECE"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Data di apertura del bando</w:t>
      </w:r>
      <w:r w:rsidRPr="00206D54">
        <w:rPr>
          <w:rFonts w:ascii="Arial" w:hAnsi="Arial" w:cs="Arial"/>
          <w:sz w:val="24"/>
          <w:szCs w:val="24"/>
        </w:rPr>
        <w:tab/>
      </w:r>
      <w:r>
        <w:rPr>
          <w:rFonts w:ascii="Arial" w:hAnsi="Arial" w:cs="Arial"/>
          <w:sz w:val="24"/>
          <w:szCs w:val="24"/>
        </w:rPr>
        <w:tab/>
      </w:r>
      <w:r>
        <w:rPr>
          <w:rFonts w:ascii="Arial" w:hAnsi="Arial" w:cs="Arial"/>
          <w:sz w:val="24"/>
          <w:szCs w:val="24"/>
        </w:rPr>
        <w:tab/>
      </w:r>
      <w:r w:rsidRPr="00206D54">
        <w:rPr>
          <w:rFonts w:ascii="Arial" w:hAnsi="Arial" w:cs="Arial"/>
          <w:sz w:val="24"/>
          <w:szCs w:val="24"/>
        </w:rPr>
        <w:t>27/06/2023</w:t>
      </w:r>
    </w:p>
    <w:p w14:paraId="0AC526EE" w14:textId="6CAAF8CE"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Scadenza del bando</w:t>
      </w:r>
      <w:r w:rsidRPr="00206D5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06D54">
        <w:rPr>
          <w:rFonts w:ascii="Arial" w:hAnsi="Arial" w:cs="Arial"/>
          <w:sz w:val="24"/>
          <w:szCs w:val="24"/>
        </w:rPr>
        <w:t>27/09/2023</w:t>
      </w:r>
    </w:p>
    <w:p w14:paraId="48732A70" w14:textId="1D64EF9B"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Modello di scadenza</w:t>
      </w:r>
      <w:r w:rsidRPr="00206D54">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06D54">
        <w:rPr>
          <w:rFonts w:ascii="Arial" w:hAnsi="Arial" w:cs="Arial"/>
          <w:sz w:val="24"/>
          <w:szCs w:val="24"/>
        </w:rPr>
        <w:t>Monostadio</w:t>
      </w:r>
    </w:p>
    <w:p w14:paraId="052FEA73" w14:textId="77777777" w:rsidR="00206D54" w:rsidRPr="00206D54" w:rsidRDefault="00206D54" w:rsidP="00206D54">
      <w:pPr>
        <w:pStyle w:val="Testonormale"/>
        <w:jc w:val="both"/>
        <w:rPr>
          <w:rFonts w:ascii="Arial" w:hAnsi="Arial" w:cs="Arial"/>
          <w:sz w:val="24"/>
          <w:szCs w:val="24"/>
        </w:rPr>
      </w:pPr>
      <w:r w:rsidRPr="00206D54">
        <w:rPr>
          <w:rFonts w:ascii="Arial" w:hAnsi="Arial" w:cs="Arial"/>
          <w:sz w:val="24"/>
          <w:szCs w:val="24"/>
        </w:rPr>
        <w:t>Scopo</w:t>
      </w:r>
      <w:r w:rsidRPr="00206D54">
        <w:rPr>
          <w:rFonts w:ascii="Arial" w:hAnsi="Arial" w:cs="Arial"/>
          <w:sz w:val="24"/>
          <w:szCs w:val="24"/>
        </w:rPr>
        <w:tab/>
        <w:t>Sostieni 100 PMI turistiche europee</w:t>
      </w:r>
    </w:p>
    <w:p w14:paraId="1A41F680" w14:textId="77777777" w:rsidR="00206D54" w:rsidRPr="00206D54" w:rsidRDefault="00206D54" w:rsidP="00206D54">
      <w:pPr>
        <w:pStyle w:val="Testonormale"/>
        <w:jc w:val="both"/>
        <w:rPr>
          <w:rFonts w:ascii="Arial" w:hAnsi="Arial" w:cs="Arial"/>
          <w:color w:val="000000"/>
          <w:sz w:val="24"/>
          <w:szCs w:val="24"/>
        </w:rPr>
      </w:pPr>
    </w:p>
    <w:p w14:paraId="6F9A533B" w14:textId="3B93C2E6" w:rsidR="00206D54" w:rsidRDefault="00206D54" w:rsidP="00206D54">
      <w:pPr>
        <w:pStyle w:val="Testonormale"/>
        <w:jc w:val="both"/>
        <w:rPr>
          <w:rFonts w:ascii="Arial" w:hAnsi="Arial" w:cs="Arial"/>
          <w:color w:val="000000"/>
          <w:sz w:val="24"/>
          <w:szCs w:val="24"/>
        </w:rPr>
      </w:pPr>
      <w:r w:rsidRPr="00206D54">
        <w:rPr>
          <w:rFonts w:ascii="Arial" w:hAnsi="Arial" w:cs="Arial"/>
          <w:b/>
          <w:color w:val="000000"/>
          <w:sz w:val="24"/>
          <w:szCs w:val="24"/>
        </w:rPr>
        <w:t>Beneficiari</w:t>
      </w:r>
      <w:r w:rsidRPr="00206D54">
        <w:rPr>
          <w:rFonts w:ascii="Arial" w:hAnsi="Arial" w:cs="Arial"/>
          <w:color w:val="000000"/>
          <w:sz w:val="24"/>
          <w:szCs w:val="24"/>
        </w:rPr>
        <w:t>:</w:t>
      </w:r>
    </w:p>
    <w:p w14:paraId="2EA8C819" w14:textId="77777777" w:rsidR="002C72CF" w:rsidRPr="00206D54" w:rsidRDefault="002C72CF" w:rsidP="00206D54">
      <w:pPr>
        <w:pStyle w:val="Testonormale"/>
        <w:jc w:val="both"/>
        <w:rPr>
          <w:rFonts w:ascii="Arial" w:hAnsi="Arial" w:cs="Arial"/>
          <w:color w:val="000000"/>
          <w:sz w:val="24"/>
          <w:szCs w:val="24"/>
        </w:rPr>
      </w:pPr>
    </w:p>
    <w:p w14:paraId="0E77EA42"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l programma è strettamente limitato alle PMI del turismo nelle seguenti categorie:</w:t>
      </w:r>
    </w:p>
    <w:p w14:paraId="2962A824" w14:textId="77777777" w:rsidR="00206D54" w:rsidRPr="00206D54" w:rsidRDefault="00206D54" w:rsidP="00206D54">
      <w:pPr>
        <w:pStyle w:val="Testonormale"/>
        <w:jc w:val="both"/>
        <w:rPr>
          <w:rFonts w:ascii="Arial" w:hAnsi="Arial" w:cs="Arial"/>
          <w:color w:val="000000"/>
          <w:sz w:val="24"/>
          <w:szCs w:val="24"/>
        </w:rPr>
      </w:pPr>
    </w:p>
    <w:p w14:paraId="48D92F77"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Agenzia di viaggi, servizio di prenotazione tour operator e attività connesse (N79).</w:t>
      </w:r>
    </w:p>
    <w:p w14:paraId="4EFEBF85"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Alberghi e alloggi simili (I5510)1;</w:t>
      </w:r>
    </w:p>
    <w:p w14:paraId="1E06429C"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alloggi per vacanze e altri alloggi per soggiorni di breve durata (I5520);</w:t>
      </w:r>
    </w:p>
    <w:p w14:paraId="713626B9"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aree di campeggio, parchi per veicoli da diporto e aree per roulotte (I5530);</w:t>
      </w:r>
    </w:p>
    <w:p w14:paraId="45786F0F" w14:textId="77777777" w:rsidR="00206D54" w:rsidRPr="00206D54" w:rsidRDefault="00206D54" w:rsidP="00206D54">
      <w:pPr>
        <w:pStyle w:val="Testonormale"/>
        <w:jc w:val="both"/>
        <w:rPr>
          <w:rFonts w:ascii="Arial" w:hAnsi="Arial" w:cs="Arial"/>
          <w:color w:val="000000"/>
          <w:sz w:val="24"/>
          <w:szCs w:val="24"/>
        </w:rPr>
      </w:pPr>
    </w:p>
    <w:p w14:paraId="384962FF" w14:textId="77777777" w:rsidR="00206D54" w:rsidRPr="00206D54" w:rsidRDefault="00206D54" w:rsidP="00206D54">
      <w:pPr>
        <w:pStyle w:val="Testonormale"/>
        <w:jc w:val="both"/>
        <w:rPr>
          <w:rFonts w:ascii="Arial" w:hAnsi="Arial" w:cs="Arial"/>
          <w:b/>
          <w:color w:val="000000"/>
          <w:sz w:val="24"/>
          <w:szCs w:val="24"/>
        </w:rPr>
      </w:pPr>
      <w:r w:rsidRPr="00206D54">
        <w:rPr>
          <w:rFonts w:ascii="Arial" w:hAnsi="Arial" w:cs="Arial"/>
          <w:b/>
          <w:color w:val="000000"/>
          <w:sz w:val="24"/>
          <w:szCs w:val="24"/>
        </w:rPr>
        <w:t>Elenco attività ammissibili:</w:t>
      </w:r>
    </w:p>
    <w:p w14:paraId="764777C8" w14:textId="77777777" w:rsidR="002C72CF" w:rsidRDefault="002C72CF" w:rsidP="00206D54">
      <w:pPr>
        <w:pStyle w:val="Testonormale"/>
        <w:jc w:val="both"/>
        <w:rPr>
          <w:rFonts w:ascii="Arial" w:hAnsi="Arial" w:cs="Arial"/>
          <w:color w:val="444444"/>
          <w:shd w:val="clear" w:color="auto" w:fill="F8F8F8"/>
        </w:rPr>
      </w:pPr>
    </w:p>
    <w:p w14:paraId="7267B497" w14:textId="2BA1B91E" w:rsidR="00206D54" w:rsidRPr="002C72CF" w:rsidRDefault="002C72CF" w:rsidP="00206D54">
      <w:pPr>
        <w:pStyle w:val="Testonormale"/>
        <w:jc w:val="both"/>
        <w:rPr>
          <w:rFonts w:ascii="Arial" w:hAnsi="Arial" w:cs="Arial"/>
          <w:sz w:val="28"/>
          <w:szCs w:val="24"/>
        </w:rPr>
      </w:pPr>
      <w:r w:rsidRPr="002C72CF">
        <w:rPr>
          <w:rFonts w:ascii="Arial" w:hAnsi="Arial" w:cs="Arial"/>
          <w:sz w:val="24"/>
          <w:shd w:val="clear" w:color="auto" w:fill="F8F8F8"/>
        </w:rPr>
        <w:t>Dopo l'audit dettagliato e la relazione, le PMI saranno in grado di utilizzare i voucher per servizi e formazione nel campo delle soluzioni di mercato digitali e dell'innovazione come:</w:t>
      </w:r>
    </w:p>
    <w:p w14:paraId="0F87EA89"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Realtà virtuale</w:t>
      </w:r>
    </w:p>
    <w:p w14:paraId="6C3D4FFA"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Aumento della realtà</w:t>
      </w:r>
    </w:p>
    <w:p w14:paraId="07320B3B"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Tracciamento oculare</w:t>
      </w:r>
    </w:p>
    <w:p w14:paraId="25E58F02"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Codifica facciale</w:t>
      </w:r>
    </w:p>
    <w:p w14:paraId="72ABF885"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EEG (elettroencefalografia)</w:t>
      </w:r>
    </w:p>
    <w:p w14:paraId="4A69FA61"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Reputazione digitale</w:t>
      </w:r>
    </w:p>
    <w:p w14:paraId="5EB74303"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Intelligenza artificiale</w:t>
      </w:r>
    </w:p>
    <w:p w14:paraId="3792B9E2"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Usabilità web</w:t>
      </w:r>
    </w:p>
    <w:p w14:paraId="12F1ED3E"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Analisi dei contenuti: testo, video e immagini</w:t>
      </w:r>
    </w:p>
    <w:p w14:paraId="66272AB4"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Analisi di benchmarking e indici</w:t>
      </w:r>
    </w:p>
    <w:p w14:paraId="079E2AAA" w14:textId="77777777" w:rsidR="00206D54" w:rsidRPr="00206D54" w:rsidRDefault="00206D54" w:rsidP="00206D54">
      <w:pPr>
        <w:pStyle w:val="Testonormale"/>
        <w:jc w:val="both"/>
        <w:rPr>
          <w:rFonts w:ascii="Arial" w:hAnsi="Arial" w:cs="Arial"/>
          <w:color w:val="000000"/>
          <w:sz w:val="24"/>
          <w:szCs w:val="24"/>
        </w:rPr>
      </w:pPr>
    </w:p>
    <w:p w14:paraId="59D7651E" w14:textId="77777777" w:rsidR="00206D54" w:rsidRPr="00206D54" w:rsidRDefault="00206D54" w:rsidP="00206D54">
      <w:pPr>
        <w:pStyle w:val="Testonormale"/>
        <w:jc w:val="both"/>
        <w:rPr>
          <w:rFonts w:ascii="Arial" w:hAnsi="Arial" w:cs="Arial"/>
          <w:b/>
          <w:color w:val="000000"/>
          <w:sz w:val="24"/>
          <w:szCs w:val="24"/>
        </w:rPr>
      </w:pPr>
      <w:r w:rsidRPr="00206D54">
        <w:rPr>
          <w:rFonts w:ascii="Arial" w:hAnsi="Arial" w:cs="Arial"/>
          <w:b/>
          <w:color w:val="000000"/>
          <w:sz w:val="24"/>
          <w:szCs w:val="24"/>
        </w:rPr>
        <w:t>Attività ammissibili del programma COSME</w:t>
      </w:r>
    </w:p>
    <w:p w14:paraId="374F13EE" w14:textId="77777777" w:rsidR="00206D54" w:rsidRPr="00206D54" w:rsidRDefault="00206D54" w:rsidP="00206D54">
      <w:pPr>
        <w:pStyle w:val="Testonormale"/>
        <w:jc w:val="both"/>
        <w:rPr>
          <w:rFonts w:ascii="Arial" w:hAnsi="Arial" w:cs="Arial"/>
          <w:color w:val="000000"/>
          <w:sz w:val="24"/>
          <w:szCs w:val="24"/>
        </w:rPr>
      </w:pPr>
    </w:p>
    <w:p w14:paraId="6FBC57BE"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 Supporto per i costi di viaggio, iscrizione e alloggio per frequentare i corsi.</w:t>
      </w:r>
    </w:p>
    <w:p w14:paraId="277EFC66" w14:textId="77777777" w:rsidR="00206D54" w:rsidRPr="00206D54" w:rsidRDefault="00206D54" w:rsidP="00206D54">
      <w:pPr>
        <w:pStyle w:val="Testonormale"/>
        <w:jc w:val="both"/>
        <w:rPr>
          <w:rFonts w:ascii="Arial" w:hAnsi="Arial" w:cs="Arial"/>
          <w:color w:val="000000"/>
          <w:sz w:val="24"/>
          <w:szCs w:val="24"/>
        </w:rPr>
      </w:pPr>
    </w:p>
    <w:p w14:paraId="4DA5AFF1"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 Accesso a eventi di matchmaking per creare l'hub del turismo digitale, promuovendo la cooperazione intersettoriale e transnazionale: ciò consentirà il trasferimento di conoscenze e tecnologie</w:t>
      </w:r>
    </w:p>
    <w:p w14:paraId="685B970D" w14:textId="77777777" w:rsidR="00206D54" w:rsidRPr="00206D54" w:rsidRDefault="00206D54" w:rsidP="00206D54">
      <w:pPr>
        <w:pStyle w:val="Testonormale"/>
        <w:jc w:val="both"/>
        <w:rPr>
          <w:rFonts w:ascii="Arial" w:hAnsi="Arial" w:cs="Arial"/>
          <w:color w:val="000000"/>
          <w:sz w:val="24"/>
          <w:szCs w:val="24"/>
        </w:rPr>
      </w:pPr>
    </w:p>
    <w:p w14:paraId="1CBEBA25"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Quote di partecipazione a eventi orientati al digitale a livello dell'UE</w:t>
      </w:r>
    </w:p>
    <w:p w14:paraId="5BF7F0E9"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Sessioni di coaching e mentoring per uno studio di fattibilità e raccomandazioni ad hoc</w:t>
      </w:r>
    </w:p>
    <w:p w14:paraId="51E201D2"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lastRenderedPageBreak/>
        <w:t>Pagamento per le licenze software idonee richieste fino alla fine della durata del progetto e dei servizi per accedere a nuove soluzioni tecnologiche precedentemente raccomandate nella valutazione. Gli investimenti in qualsiasi infrastruttura fisica (generatori di backup, connettività -cablaggio-, hardware non sono ammissibili.</w:t>
      </w:r>
    </w:p>
    <w:p w14:paraId="666CB3B2"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 Frequentare corsi di formazione online e offline, workshop, visite di studio, attività di sensibilizzazione;</w:t>
      </w:r>
    </w:p>
    <w:p w14:paraId="7336AEC5" w14:textId="77777777" w:rsidR="00206D54" w:rsidRPr="00206D54" w:rsidRDefault="00206D54" w:rsidP="00206D54">
      <w:pPr>
        <w:pStyle w:val="Testonormale"/>
        <w:jc w:val="both"/>
        <w:rPr>
          <w:rFonts w:ascii="Arial" w:hAnsi="Arial" w:cs="Arial"/>
          <w:color w:val="000000"/>
          <w:sz w:val="24"/>
          <w:szCs w:val="24"/>
        </w:rPr>
      </w:pPr>
    </w:p>
    <w:p w14:paraId="13DBA61E"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 Sviluppo di soluzioni digitali, piattaforme per la condivisione di conoscenze e competenze e coinvolgimento della comunità locale;</w:t>
      </w:r>
    </w:p>
    <w:p w14:paraId="6C808BC3" w14:textId="77777777" w:rsidR="00206D54" w:rsidRPr="00206D54" w:rsidRDefault="00206D54" w:rsidP="00206D54">
      <w:pPr>
        <w:pStyle w:val="Testonormale"/>
        <w:jc w:val="both"/>
        <w:rPr>
          <w:rFonts w:ascii="Arial" w:hAnsi="Arial" w:cs="Arial"/>
          <w:color w:val="000000"/>
          <w:sz w:val="24"/>
          <w:szCs w:val="24"/>
        </w:rPr>
      </w:pPr>
    </w:p>
    <w:p w14:paraId="1A7EA0E4"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 Creazione di nuovi contenuti digitali secondo le raccomandazioni e i suggerimenti forniti</w:t>
      </w:r>
    </w:p>
    <w:p w14:paraId="06EF17C9" w14:textId="77777777" w:rsidR="00206D54" w:rsidRPr="00206D54" w:rsidRDefault="00206D54" w:rsidP="00206D54">
      <w:pPr>
        <w:pStyle w:val="Testonormale"/>
        <w:jc w:val="both"/>
        <w:rPr>
          <w:rFonts w:ascii="Arial" w:hAnsi="Arial" w:cs="Arial"/>
          <w:color w:val="000000"/>
          <w:sz w:val="24"/>
          <w:szCs w:val="24"/>
        </w:rPr>
      </w:pPr>
    </w:p>
    <w:p w14:paraId="1D701C0A"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 Altre attività proposte dal Consorzio in linea con gli obiettivi del bando</w:t>
      </w:r>
    </w:p>
    <w:p w14:paraId="70F070F0" w14:textId="77777777" w:rsidR="00206D54" w:rsidRPr="00206D54" w:rsidRDefault="00206D54" w:rsidP="00206D54">
      <w:pPr>
        <w:pStyle w:val="Testonormale"/>
        <w:jc w:val="both"/>
        <w:rPr>
          <w:rFonts w:ascii="Arial" w:hAnsi="Arial" w:cs="Arial"/>
          <w:color w:val="000000"/>
          <w:sz w:val="24"/>
          <w:szCs w:val="24"/>
        </w:rPr>
      </w:pPr>
    </w:p>
    <w:p w14:paraId="5329A810"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Al fine di selezionare i fornitori di servizi, e parallelamente al presente invito, Euro-emotur lancerà un invito aperto a manifestare interesse per i fornitori di servizi nell'ambito del quale mentori, esperti, consulenti e fornitori di tecnologia/innovazione per la digitalizzazione, l'innovazione e le soluzioni digitali potranno presentare le loro candidature per fornire i loro servizi alle PMI. Dopo il processo di valutazione, le PMI premiate avranno accesso al pool di fornitori di servizi per trovare quello o i più appropriati per sostenere l'attuazione del loro progetto. Questo elenco di fornitori sarà disponibile sul sito web del progetto (https://euroemotur.eu/).</w:t>
      </w:r>
    </w:p>
    <w:p w14:paraId="002157D7" w14:textId="77777777" w:rsidR="00206D54" w:rsidRPr="00206D54" w:rsidRDefault="00206D54" w:rsidP="00206D54">
      <w:pPr>
        <w:pStyle w:val="Testonormale"/>
        <w:jc w:val="both"/>
        <w:rPr>
          <w:rFonts w:ascii="Arial" w:hAnsi="Arial" w:cs="Arial"/>
          <w:color w:val="000000"/>
          <w:sz w:val="24"/>
          <w:szCs w:val="24"/>
        </w:rPr>
      </w:pPr>
    </w:p>
    <w:p w14:paraId="1A338768" w14:textId="77777777" w:rsidR="00206D54" w:rsidRPr="00206D54" w:rsidRDefault="00206D54" w:rsidP="00206D54">
      <w:pPr>
        <w:pStyle w:val="Testonormale"/>
        <w:jc w:val="both"/>
        <w:rPr>
          <w:rFonts w:ascii="Arial" w:hAnsi="Arial" w:cs="Arial"/>
          <w:color w:val="000000"/>
          <w:sz w:val="24"/>
          <w:szCs w:val="24"/>
        </w:rPr>
      </w:pPr>
      <w:r w:rsidRPr="00206D54">
        <w:rPr>
          <w:rFonts w:ascii="Arial" w:hAnsi="Arial" w:cs="Arial"/>
          <w:color w:val="000000"/>
          <w:sz w:val="24"/>
          <w:szCs w:val="24"/>
        </w:rPr>
        <w:t>Nell'ambito della procedura di candidatura, le PMI possono, in alternativa, proporre esse stesse un fornitore di servizi diverso e appropriato, se lo desiderano, purché il prestatore di servizi abbia sede in uno dei paesi ammissibili. Il Comitato di Valutazione si riserva tuttavia il diritto di rifiutare tale richiesta relativa alla collaborazione con un fornitore di servizi specifico, nel qual caso la PMI, se selezionata, sarebbe invitata a proporre un fornitore di servizi diverso, o scegliere dall'elenco sopra menzionato.</w:t>
      </w:r>
    </w:p>
    <w:p w14:paraId="45DE7261" w14:textId="77777777" w:rsidR="00206D54" w:rsidRDefault="00206D54" w:rsidP="00206D54"/>
    <w:p w14:paraId="01D6D408" w14:textId="77777777" w:rsidR="00206D54" w:rsidRDefault="00206D54" w:rsidP="00206D54"/>
    <w:p w14:paraId="4F7A8771" w14:textId="77777777" w:rsidR="00CF1DC3" w:rsidRDefault="00CF1DC3"/>
    <w:sectPr w:rsidR="00CF1D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66"/>
    <w:rsid w:val="000D17F5"/>
    <w:rsid w:val="00206D54"/>
    <w:rsid w:val="0024731C"/>
    <w:rsid w:val="002C72CF"/>
    <w:rsid w:val="00AA7766"/>
    <w:rsid w:val="00CE613A"/>
    <w:rsid w:val="00CF1D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5568"/>
  <w15:chartTrackingRefBased/>
  <w15:docId w15:val="{98D9BFCF-FEB4-4583-91C0-75AB080F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6D54"/>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206D54"/>
    <w:rPr>
      <w:rFonts w:ascii="Calibri" w:hAnsi="Calibri"/>
      <w:szCs w:val="21"/>
    </w:rPr>
  </w:style>
  <w:style w:type="character" w:customStyle="1" w:styleId="TestonormaleCarattere">
    <w:name w:val="Testo normale Carattere"/>
    <w:basedOn w:val="Carpredefinitoparagrafo"/>
    <w:link w:val="Testonormale"/>
    <w:uiPriority w:val="99"/>
    <w:semiHidden/>
    <w:rsid w:val="00206D5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588</Words>
  <Characters>3358</Characters>
  <Application>Microsoft Office Word</Application>
  <DocSecurity>4</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Simoni</dc:creator>
  <cp:keywords/>
  <dc:description/>
  <cp:lastModifiedBy>Massimo Giusfredi</cp:lastModifiedBy>
  <cp:revision>2</cp:revision>
  <dcterms:created xsi:type="dcterms:W3CDTF">2023-09-14T10:19:00Z</dcterms:created>
  <dcterms:modified xsi:type="dcterms:W3CDTF">2023-09-14T10:19:00Z</dcterms:modified>
</cp:coreProperties>
</file>